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5D" w:rsidRDefault="00244038" w:rsidP="00D50144">
      <w:pPr>
        <w:rPr>
          <w:sz w:val="24"/>
        </w:rPr>
      </w:pPr>
      <w:r>
        <w:rPr>
          <w:noProof/>
          <w:sz w:val="24"/>
        </w:rPr>
        <mc:AlternateContent>
          <mc:Choice Requires="wps">
            <w:drawing>
              <wp:anchor distT="0" distB="0" distL="114300" distR="114300" simplePos="0" relativeHeight="251694080" behindDoc="0" locked="0" layoutInCell="1" allowOverlap="1">
                <wp:simplePos x="0" y="0"/>
                <wp:positionH relativeFrom="column">
                  <wp:posOffset>90170</wp:posOffset>
                </wp:positionH>
                <wp:positionV relativeFrom="paragraph">
                  <wp:posOffset>33020</wp:posOffset>
                </wp:positionV>
                <wp:extent cx="5534025" cy="1152525"/>
                <wp:effectExtent l="0" t="0" r="28575" b="28575"/>
                <wp:wrapNone/>
                <wp:docPr id="6" name="フレーム 6"/>
                <wp:cNvGraphicFramePr/>
                <a:graphic xmlns:a="http://schemas.openxmlformats.org/drawingml/2006/main">
                  <a:graphicData uri="http://schemas.microsoft.com/office/word/2010/wordprocessingShape">
                    <wps:wsp>
                      <wps:cNvSpPr/>
                      <wps:spPr>
                        <a:xfrm>
                          <a:off x="0" y="0"/>
                          <a:ext cx="5534025" cy="1152525"/>
                        </a:xfrm>
                        <a:prstGeom prst="frame">
                          <a:avLst>
                            <a:gd name="adj1" fmla="val 6715"/>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24F9DF" id="フレーム 6" o:spid="_x0000_s1026" style="position:absolute;left:0;text-align:left;margin-left:7.1pt;margin-top:2.6pt;width:435.75pt;height:90.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34025,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" path="m,l5534025,r,1152525l,1152525,,xm77392,77392r,997741l5456633,1075133r,-997741l77392,77392xe" fillcolor="#f79646 [3209]" strokecolor="#f79646 [3209]" strokeweight="2pt">
                <v:path arrowok="t" o:connecttype="custom" o:connectlocs="0,0;5534025,0;5534025,1152525;0,1152525;0,0;77392,77392;77392,1075133;5456633,1075133;5456633,77392;77392,77392" o:connectangles="0,0,0,0,0,0,0,0,0,0"/>
              </v:shape>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309245</wp:posOffset>
                </wp:positionH>
                <wp:positionV relativeFrom="paragraph">
                  <wp:posOffset>233045</wp:posOffset>
                </wp:positionV>
                <wp:extent cx="5114925" cy="7620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14925" cy="762000"/>
                        </a:xfrm>
                        <a:prstGeom prst="rect">
                          <a:avLst/>
                        </a:prstGeom>
                        <a:solidFill>
                          <a:srgbClr val="FFFFFF"/>
                        </a:solidFill>
                      </wps:spPr>
                      <wps:txbx>
                        <w:txbxContent>
                          <w:p w:rsidR="002D6630" w:rsidRPr="002D6630" w:rsidRDefault="002D6630" w:rsidP="002D6630">
                            <w:pPr>
                              <w:pStyle w:val="Web"/>
                              <w:spacing w:before="0" w:beforeAutospacing="0" w:after="0" w:afterAutospacing="0"/>
                              <w:rPr>
                                <w:rFonts w:ascii="MS UI Gothic" w:eastAsia="MS UI Gothic" w:hAnsi="MS UI Gothic"/>
                                <w:b/>
                              </w:rPr>
                            </w:pPr>
                            <w:r w:rsidRPr="002D6630">
                              <w:rPr>
                                <w:rFonts w:ascii="MS UI Gothic" w:eastAsia="MS UI Gothic" w:hAnsi="MS UI Gothic" w:hint="eastAsia"/>
                                <w:b/>
                                <w:color w:val="000000" w:themeColor="text1"/>
                                <w:sz w:val="72"/>
                                <w:szCs w:val="72"/>
                              </w:rPr>
                              <w:t>介護や認知症の相談窓口</w:t>
                            </w:r>
                          </w:p>
                        </w:txbxContent>
                      </wps:txbx>
                      <wps:bodyPr wrap="square" numCol="1" fromWordAr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35pt;margin-top:18.35pt;width:402.7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" stroked="f">
                <o:lock v:ext="edit" shapetype="t"/>
                <v:textbox>
                  <w:txbxContent>
                    <w:p w:rsidR="002D6630" w:rsidRPr="002D6630" w:rsidRDefault="002D6630" w:rsidP="002D6630">
                      <w:pPr>
                        <w:pStyle w:val="Web"/>
                        <w:spacing w:before="0" w:beforeAutospacing="0" w:after="0" w:afterAutospacing="0"/>
                        <w:rPr>
                          <w:rFonts w:ascii="MS UI Gothic" w:eastAsia="MS UI Gothic" w:hAnsi="MS UI Gothic"/>
                          <w:b/>
                        </w:rPr>
                      </w:pPr>
                      <w:r w:rsidRPr="002D6630">
                        <w:rPr>
                          <w:rFonts w:ascii="MS UI Gothic" w:eastAsia="MS UI Gothic" w:hAnsi="MS UI Gothic" w:hint="eastAsia"/>
                          <w:b/>
                          <w:color w:val="000000" w:themeColor="text1"/>
                          <w:sz w:val="72"/>
                          <w:szCs w:val="72"/>
                        </w:rPr>
                        <w:t>介護や認知症の相談窓口</w:t>
                      </w:r>
                    </w:p>
                  </w:txbxContent>
                </v:textbox>
              </v:shape>
            </w:pict>
          </mc:Fallback>
        </mc:AlternateContent>
      </w:r>
    </w:p>
    <w:p w:rsidR="0061455B" w:rsidRDefault="0061455B" w:rsidP="00DE1644">
      <w:pPr>
        <w:rPr>
          <w:sz w:val="24"/>
        </w:rPr>
      </w:pPr>
    </w:p>
    <w:p w:rsidR="00DE1644" w:rsidRDefault="00DE1644" w:rsidP="00DE1644">
      <w:pPr>
        <w:rPr>
          <w:sz w:val="24"/>
        </w:rPr>
      </w:pPr>
    </w:p>
    <w:p w:rsidR="00DE1644" w:rsidRDefault="00DE1644" w:rsidP="00DE1644">
      <w:pPr>
        <w:rPr>
          <w:sz w:val="24"/>
        </w:rPr>
      </w:pPr>
    </w:p>
    <w:p w:rsidR="00DE1644" w:rsidRDefault="00DE1644" w:rsidP="00DE1644">
      <w:pPr>
        <w:rPr>
          <w:sz w:val="24"/>
        </w:rPr>
      </w:pPr>
    </w:p>
    <w:p w:rsidR="00DE1644" w:rsidRDefault="00DE1644" w:rsidP="00DE1644">
      <w:pPr>
        <w:rPr>
          <w:sz w:val="24"/>
        </w:rPr>
      </w:pPr>
    </w:p>
    <w:p w:rsidR="00DE1644" w:rsidRPr="00DE1644" w:rsidRDefault="00DE1644" w:rsidP="00DE1644">
      <w:pPr>
        <w:ind w:firstLineChars="100" w:firstLine="240"/>
        <w:rPr>
          <w:rFonts w:ascii="HG丸ｺﾞｼｯｸM-PRO" w:eastAsia="HG丸ｺﾞｼｯｸM-PRO" w:hAnsi="HG丸ｺﾞｼｯｸM-PRO"/>
          <w:sz w:val="24"/>
        </w:rPr>
      </w:pPr>
      <w:r w:rsidRPr="00DE1644">
        <w:rPr>
          <w:rFonts w:ascii="HG丸ｺﾞｼｯｸM-PRO" w:eastAsia="HG丸ｺﾞｼｯｸM-PRO" w:hAnsi="HG丸ｺﾞｼｯｸM-PRO" w:hint="eastAsia"/>
          <w:sz w:val="24"/>
        </w:rPr>
        <w:t>高齢者及びその家族からの相談に応じ、適切なサービス等の利用につながるよう支援します。</w:t>
      </w:r>
      <w:r w:rsidR="00244038">
        <w:rPr>
          <w:rFonts w:ascii="HG丸ｺﾞｼｯｸM-PRO" w:eastAsia="HG丸ｺﾞｼｯｸM-PRO" w:hAnsi="HG丸ｺﾞｼｯｸM-PRO" w:hint="eastAsia"/>
          <w:sz w:val="24"/>
        </w:rPr>
        <w:t>また</w:t>
      </w:r>
      <w:r w:rsidRPr="00DE1644">
        <w:rPr>
          <w:rFonts w:ascii="HG丸ｺﾞｼｯｸM-PRO" w:eastAsia="HG丸ｺﾞｼｯｸM-PRO" w:hAnsi="HG丸ｺﾞｼｯｸM-PRO" w:hint="eastAsia"/>
          <w:sz w:val="24"/>
        </w:rPr>
        <w:t>保健・福祉・介護サービスの利用申請手続の便宜を図ります。</w:t>
      </w:r>
    </w:p>
    <w:p w:rsidR="00AB64E6" w:rsidRPr="00DE1644" w:rsidRDefault="00DE1644" w:rsidP="00DE1644">
      <w:pPr>
        <w:ind w:firstLineChars="100" w:firstLine="240"/>
        <w:rPr>
          <w:rFonts w:ascii="HG丸ｺﾞｼｯｸM-PRO" w:eastAsia="HG丸ｺﾞｼｯｸM-PRO" w:hAnsi="HG丸ｺﾞｼｯｸM-PRO"/>
          <w:sz w:val="24"/>
        </w:rPr>
      </w:pPr>
      <w:r w:rsidRPr="00DE1644">
        <w:rPr>
          <w:rFonts w:ascii="HG丸ｺﾞｼｯｸM-PRO" w:eastAsia="HG丸ｺﾞｼｯｸM-PRO" w:hAnsi="HG丸ｺﾞｼｯｸM-PRO" w:hint="eastAsia"/>
          <w:sz w:val="24"/>
        </w:rPr>
        <w:t>みなさんから寄せられた相談については、ブランチと地域包括支援センターが連携して対応・支援いたしますので、ひとりで抱え込まずにお気軽に相談してください。</w:t>
      </w:r>
    </w:p>
    <w:p w:rsidR="0061455B" w:rsidRDefault="0061455B" w:rsidP="0061455B">
      <w:pPr>
        <w:spacing w:line="240" w:lineRule="exact"/>
        <w:jc w:val="right"/>
        <w:rPr>
          <w:sz w:val="22"/>
          <w:szCs w:val="22"/>
        </w:rPr>
      </w:pPr>
    </w:p>
    <w:tbl>
      <w:tblPr>
        <w:tblStyle w:val="a8"/>
        <w:tblW w:w="9286" w:type="dxa"/>
        <w:tblLook w:val="04A0" w:firstRow="1" w:lastRow="0" w:firstColumn="1" w:lastColumn="0" w:noHBand="0" w:noVBand="1"/>
      </w:tblPr>
      <w:tblGrid>
        <w:gridCol w:w="675"/>
        <w:gridCol w:w="5627"/>
        <w:gridCol w:w="2984"/>
      </w:tblGrid>
      <w:tr w:rsidR="002B56FF" w:rsidTr="00577CF5">
        <w:trPr>
          <w:cantSplit/>
          <w:trHeight w:val="798"/>
        </w:trPr>
        <w:tc>
          <w:tcPr>
            <w:tcW w:w="6302" w:type="dxa"/>
            <w:gridSpan w:val="2"/>
            <w:tcBorders>
              <w:bottom w:val="double" w:sz="4" w:space="0" w:color="auto"/>
            </w:tcBorders>
          </w:tcPr>
          <w:p w:rsidR="002B56FF" w:rsidRPr="00AB64E6" w:rsidRDefault="002B56FF" w:rsidP="0061455B">
            <w:pPr>
              <w:jc w:val="center"/>
              <w:rPr>
                <w:rFonts w:ascii="Meiryo UI" w:eastAsia="Meiryo UI" w:hAnsi="Meiryo UI"/>
                <w:sz w:val="28"/>
                <w:szCs w:val="22"/>
              </w:rPr>
            </w:pPr>
            <w:r w:rsidRPr="00AB64E6">
              <w:rPr>
                <w:rFonts w:ascii="Meiryo UI" w:eastAsia="Meiryo UI" w:hAnsi="Meiryo UI" w:hint="eastAsia"/>
                <w:sz w:val="28"/>
                <w:szCs w:val="22"/>
              </w:rPr>
              <w:t>所　在　地</w:t>
            </w:r>
          </w:p>
        </w:tc>
        <w:tc>
          <w:tcPr>
            <w:tcW w:w="2984" w:type="dxa"/>
            <w:tcBorders>
              <w:bottom w:val="double" w:sz="4" w:space="0" w:color="auto"/>
            </w:tcBorders>
            <w:vAlign w:val="center"/>
          </w:tcPr>
          <w:p w:rsidR="002B56FF" w:rsidRPr="00AB64E6" w:rsidRDefault="002B56FF" w:rsidP="0061455B">
            <w:pPr>
              <w:jc w:val="center"/>
              <w:rPr>
                <w:rFonts w:ascii="Meiryo UI" w:eastAsia="Meiryo UI" w:hAnsi="Meiryo UI"/>
                <w:sz w:val="28"/>
                <w:szCs w:val="22"/>
              </w:rPr>
            </w:pPr>
            <w:r w:rsidRPr="00AB64E6">
              <w:rPr>
                <w:rFonts w:ascii="Meiryo UI" w:eastAsia="Meiryo UI" w:hAnsi="Meiryo UI" w:hint="eastAsia"/>
                <w:sz w:val="28"/>
                <w:szCs w:val="22"/>
              </w:rPr>
              <w:t>電話番号</w:t>
            </w:r>
          </w:p>
        </w:tc>
      </w:tr>
      <w:tr w:rsidR="002B56FF" w:rsidRPr="00AB64E6" w:rsidTr="002B56FF">
        <w:trPr>
          <w:cantSplit/>
          <w:trHeight w:val="964"/>
        </w:trPr>
        <w:tc>
          <w:tcPr>
            <w:tcW w:w="675" w:type="dxa"/>
            <w:vMerge w:val="restart"/>
            <w:tcBorders>
              <w:top w:val="double" w:sz="4" w:space="0" w:color="auto"/>
            </w:tcBorders>
            <w:shd w:val="clear" w:color="auto" w:fill="FFFF99"/>
            <w:textDirection w:val="tbRlV"/>
            <w:vAlign w:val="center"/>
          </w:tcPr>
          <w:p w:rsidR="002B56FF" w:rsidRPr="003A0FD0" w:rsidRDefault="002B56FF" w:rsidP="002B56FF">
            <w:pPr>
              <w:spacing w:line="360" w:lineRule="exact"/>
              <w:ind w:left="113" w:right="113"/>
              <w:jc w:val="center"/>
              <w:rPr>
                <w:rFonts w:ascii="Meiryo UI" w:eastAsia="Meiryo UI" w:hAnsi="Meiryo UI"/>
                <w:b/>
                <w:sz w:val="24"/>
              </w:rPr>
            </w:pPr>
            <w:r>
              <w:rPr>
                <w:rFonts w:ascii="Meiryo UI" w:eastAsia="Meiryo UI" w:hAnsi="Meiryo UI" w:hint="eastAsia"/>
                <w:sz w:val="22"/>
                <w:szCs w:val="22"/>
              </w:rPr>
              <w:t>地域包括支援センターブランチ</w:t>
            </w:r>
          </w:p>
        </w:tc>
        <w:tc>
          <w:tcPr>
            <w:tcW w:w="5627" w:type="dxa"/>
            <w:tcBorders>
              <w:top w:val="double" w:sz="4" w:space="0" w:color="auto"/>
            </w:tcBorders>
            <w:shd w:val="clear" w:color="auto" w:fill="FFFF99"/>
            <w:vAlign w:val="center"/>
          </w:tcPr>
          <w:p w:rsidR="002B56FF" w:rsidRPr="00DE1644" w:rsidRDefault="002B56FF" w:rsidP="00AB64E6">
            <w:pPr>
              <w:spacing w:line="360" w:lineRule="exact"/>
              <w:rPr>
                <w:rFonts w:ascii="Meiryo UI" w:eastAsia="Meiryo UI" w:hAnsi="Meiryo UI"/>
                <w:sz w:val="28"/>
              </w:rPr>
            </w:pPr>
            <w:r w:rsidRPr="00DE1644">
              <w:rPr>
                <w:rFonts w:ascii="Meiryo UI" w:eastAsia="Meiryo UI" w:hAnsi="Meiryo UI" w:hint="eastAsia"/>
                <w:b/>
                <w:sz w:val="28"/>
              </w:rPr>
              <w:t>珠光園</w:t>
            </w:r>
            <w:r w:rsidRPr="00DE1644">
              <w:rPr>
                <w:rFonts w:ascii="Meiryo UI" w:eastAsia="Meiryo UI" w:hAnsi="Meiryo UI" w:hint="eastAsia"/>
                <w:sz w:val="28"/>
              </w:rPr>
              <w:t>老人介護支援センター</w:t>
            </w:r>
          </w:p>
          <w:p w:rsidR="002B56FF" w:rsidRPr="003A0FD0" w:rsidRDefault="002B56FF" w:rsidP="00AB64E6">
            <w:pPr>
              <w:spacing w:line="360" w:lineRule="exact"/>
              <w:ind w:firstLineChars="100" w:firstLine="220"/>
              <w:rPr>
                <w:rFonts w:ascii="Meiryo UI" w:eastAsia="Meiryo UI" w:hAnsi="Meiryo UI"/>
                <w:sz w:val="22"/>
                <w:szCs w:val="22"/>
              </w:rPr>
            </w:pPr>
            <w:r w:rsidRPr="003A0FD0">
              <w:rPr>
                <w:rFonts w:ascii="Meiryo UI" w:eastAsia="Meiryo UI" w:hAnsi="Meiryo UI" w:hint="eastAsia"/>
                <w:sz w:val="22"/>
                <w:szCs w:val="22"/>
              </w:rPr>
              <w:t>飯野町東二</w:t>
            </w:r>
            <w:r>
              <w:rPr>
                <w:rFonts w:ascii="Meiryo UI" w:eastAsia="Meiryo UI" w:hAnsi="Meiryo UI" w:hint="eastAsia"/>
                <w:sz w:val="22"/>
                <w:szCs w:val="22"/>
              </w:rPr>
              <w:t>甲911</w:t>
            </w:r>
            <w:r w:rsidRPr="003A0FD0">
              <w:rPr>
                <w:rFonts w:ascii="Meiryo UI" w:eastAsia="Meiryo UI" w:hAnsi="Meiryo UI" w:hint="eastAsia"/>
                <w:sz w:val="22"/>
                <w:szCs w:val="22"/>
              </w:rPr>
              <w:t>番地</w:t>
            </w:r>
            <w:r>
              <w:rPr>
                <w:rFonts w:ascii="Meiryo UI" w:eastAsia="Meiryo UI" w:hAnsi="Meiryo UI" w:hint="eastAsia"/>
                <w:sz w:val="22"/>
                <w:szCs w:val="22"/>
              </w:rPr>
              <w:t>1</w:t>
            </w:r>
          </w:p>
        </w:tc>
        <w:tc>
          <w:tcPr>
            <w:tcW w:w="2984" w:type="dxa"/>
            <w:tcBorders>
              <w:top w:val="double" w:sz="4" w:space="0" w:color="auto"/>
            </w:tcBorders>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23－</w:t>
            </w:r>
            <w:r w:rsidR="006471E8">
              <w:rPr>
                <w:rFonts w:ascii="Meiryo UI" w:eastAsia="Meiryo UI" w:hAnsi="Meiryo UI" w:hint="eastAsia"/>
                <w:sz w:val="32"/>
                <w:szCs w:val="22"/>
              </w:rPr>
              <w:t>2</w:t>
            </w:r>
            <w:bookmarkStart w:id="0" w:name="_GoBack"/>
            <w:bookmarkEnd w:id="0"/>
            <w:r w:rsidR="00244038">
              <w:rPr>
                <w:rFonts w:ascii="Meiryo UI" w:eastAsia="Meiryo UI" w:hAnsi="Meiryo UI" w:hint="eastAsia"/>
                <w:sz w:val="32"/>
                <w:szCs w:val="22"/>
              </w:rPr>
              <w:t>000</w:t>
            </w:r>
          </w:p>
        </w:tc>
      </w:tr>
      <w:tr w:rsidR="002B56FF" w:rsidRPr="00AB64E6" w:rsidTr="002B56FF">
        <w:trPr>
          <w:cantSplit/>
          <w:trHeight w:val="964"/>
        </w:trPr>
        <w:tc>
          <w:tcPr>
            <w:tcW w:w="675" w:type="dxa"/>
            <w:vMerge/>
            <w:shd w:val="clear" w:color="auto" w:fill="FFFF99"/>
          </w:tcPr>
          <w:p w:rsidR="002B56FF" w:rsidRPr="003A0FD0" w:rsidRDefault="002B56FF" w:rsidP="00AB64E6">
            <w:pPr>
              <w:spacing w:line="360" w:lineRule="exact"/>
              <w:rPr>
                <w:rFonts w:ascii="Meiryo UI" w:eastAsia="Meiryo UI" w:hAnsi="Meiryo UI"/>
                <w:b/>
                <w:sz w:val="24"/>
              </w:rPr>
            </w:pPr>
          </w:p>
        </w:tc>
        <w:tc>
          <w:tcPr>
            <w:tcW w:w="5627" w:type="dxa"/>
            <w:shd w:val="clear" w:color="auto" w:fill="FFFF99"/>
            <w:vAlign w:val="center"/>
          </w:tcPr>
          <w:p w:rsidR="002B56FF" w:rsidRPr="00DE1644" w:rsidRDefault="002B56FF" w:rsidP="00AB64E6">
            <w:pPr>
              <w:spacing w:line="360" w:lineRule="exact"/>
              <w:rPr>
                <w:rFonts w:ascii="Meiryo UI" w:eastAsia="Meiryo UI" w:hAnsi="Meiryo UI"/>
                <w:sz w:val="28"/>
              </w:rPr>
            </w:pPr>
            <w:r w:rsidRPr="00DE1644">
              <w:rPr>
                <w:rFonts w:ascii="Meiryo UI" w:eastAsia="Meiryo UI" w:hAnsi="Meiryo UI" w:hint="eastAsia"/>
                <w:b/>
                <w:sz w:val="28"/>
              </w:rPr>
              <w:t>青の山荘</w:t>
            </w:r>
            <w:r w:rsidRPr="00DE1644">
              <w:rPr>
                <w:rFonts w:ascii="Meiryo UI" w:eastAsia="Meiryo UI" w:hAnsi="Meiryo UI" w:hint="eastAsia"/>
                <w:sz w:val="28"/>
              </w:rPr>
              <w:t>老人介護支援センター</w:t>
            </w:r>
          </w:p>
          <w:p w:rsidR="002B56FF" w:rsidRPr="003A0FD0" w:rsidRDefault="002B56FF" w:rsidP="00AB64E6">
            <w:pPr>
              <w:spacing w:line="360" w:lineRule="exact"/>
              <w:ind w:firstLineChars="100" w:firstLine="220"/>
              <w:rPr>
                <w:rFonts w:ascii="Meiryo UI" w:eastAsia="Meiryo UI" w:hAnsi="Meiryo UI"/>
                <w:sz w:val="22"/>
                <w:szCs w:val="22"/>
              </w:rPr>
            </w:pPr>
            <w:r w:rsidRPr="003A0FD0">
              <w:rPr>
                <w:rFonts w:ascii="Meiryo UI" w:eastAsia="Meiryo UI" w:hAnsi="Meiryo UI" w:hint="eastAsia"/>
                <w:sz w:val="22"/>
                <w:szCs w:val="22"/>
              </w:rPr>
              <w:t>土器町東4丁目77</w:t>
            </w:r>
            <w:r>
              <w:rPr>
                <w:rFonts w:ascii="Meiryo UI" w:eastAsia="Meiryo UI" w:hAnsi="Meiryo UI" w:hint="eastAsia"/>
                <w:sz w:val="22"/>
                <w:szCs w:val="22"/>
              </w:rPr>
              <w:t>番地</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25－3030</w:t>
            </w:r>
          </w:p>
        </w:tc>
      </w:tr>
      <w:tr w:rsidR="002B56FF" w:rsidRPr="00AB64E6" w:rsidTr="002B56FF">
        <w:trPr>
          <w:cantSplit/>
          <w:trHeight w:val="964"/>
        </w:trPr>
        <w:tc>
          <w:tcPr>
            <w:tcW w:w="675" w:type="dxa"/>
            <w:vMerge/>
            <w:shd w:val="clear" w:color="auto" w:fill="FFFF99"/>
          </w:tcPr>
          <w:p w:rsidR="002B56FF" w:rsidRPr="003A0FD0" w:rsidRDefault="002B56FF" w:rsidP="00AB64E6">
            <w:pPr>
              <w:spacing w:line="360" w:lineRule="exact"/>
              <w:rPr>
                <w:rFonts w:ascii="Meiryo UI" w:eastAsia="Meiryo UI" w:hAnsi="Meiryo UI"/>
                <w:b/>
                <w:sz w:val="24"/>
              </w:rPr>
            </w:pPr>
          </w:p>
        </w:tc>
        <w:tc>
          <w:tcPr>
            <w:tcW w:w="5627" w:type="dxa"/>
            <w:shd w:val="clear" w:color="auto" w:fill="FFFF99"/>
            <w:vAlign w:val="center"/>
          </w:tcPr>
          <w:p w:rsidR="002B56FF" w:rsidRPr="00DE1644" w:rsidRDefault="002B56FF" w:rsidP="00AB64E6">
            <w:pPr>
              <w:spacing w:line="360" w:lineRule="exact"/>
              <w:rPr>
                <w:rFonts w:ascii="Meiryo UI" w:eastAsia="Meiryo UI" w:hAnsi="Meiryo UI"/>
                <w:sz w:val="28"/>
              </w:rPr>
            </w:pPr>
            <w:r w:rsidRPr="00DE1644">
              <w:rPr>
                <w:rFonts w:ascii="Meiryo UI" w:eastAsia="Meiryo UI" w:hAnsi="Meiryo UI" w:hint="eastAsia"/>
                <w:b/>
                <w:sz w:val="28"/>
              </w:rPr>
              <w:t>たるみ荘</w:t>
            </w:r>
            <w:r w:rsidRPr="00DE1644">
              <w:rPr>
                <w:rFonts w:ascii="Meiryo UI" w:eastAsia="Meiryo UI" w:hAnsi="Meiryo UI" w:hint="eastAsia"/>
                <w:sz w:val="28"/>
              </w:rPr>
              <w:t>老人介護支援センター</w:t>
            </w:r>
          </w:p>
          <w:p w:rsidR="002B56FF" w:rsidRPr="003A0FD0" w:rsidRDefault="002B56FF" w:rsidP="00AB64E6">
            <w:pPr>
              <w:spacing w:line="360" w:lineRule="exact"/>
              <w:ind w:firstLineChars="100" w:firstLine="220"/>
              <w:rPr>
                <w:rFonts w:ascii="Meiryo UI" w:eastAsia="Meiryo UI" w:hAnsi="Meiryo UI"/>
                <w:sz w:val="22"/>
                <w:szCs w:val="22"/>
              </w:rPr>
            </w:pPr>
            <w:r w:rsidRPr="003A0FD0">
              <w:rPr>
                <w:rFonts w:ascii="Meiryo UI" w:eastAsia="Meiryo UI" w:hAnsi="Meiryo UI" w:hint="eastAsia"/>
                <w:sz w:val="22"/>
                <w:szCs w:val="22"/>
              </w:rPr>
              <w:t>垂水町1353番地</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28－1505</w:t>
            </w:r>
          </w:p>
        </w:tc>
      </w:tr>
      <w:tr w:rsidR="002B56FF" w:rsidRPr="00AB64E6" w:rsidTr="002B56FF">
        <w:trPr>
          <w:cantSplit/>
          <w:trHeight w:val="964"/>
        </w:trPr>
        <w:tc>
          <w:tcPr>
            <w:tcW w:w="675" w:type="dxa"/>
            <w:vMerge/>
            <w:shd w:val="clear" w:color="auto" w:fill="FFFF99"/>
          </w:tcPr>
          <w:p w:rsidR="002B56FF" w:rsidRPr="003A0FD0" w:rsidRDefault="002B56FF" w:rsidP="00AB64E6">
            <w:pPr>
              <w:spacing w:line="360" w:lineRule="exact"/>
              <w:rPr>
                <w:rFonts w:ascii="Meiryo UI" w:eastAsia="Meiryo UI" w:hAnsi="Meiryo UI"/>
                <w:sz w:val="24"/>
              </w:rPr>
            </w:pPr>
          </w:p>
        </w:tc>
        <w:tc>
          <w:tcPr>
            <w:tcW w:w="5627" w:type="dxa"/>
            <w:shd w:val="clear" w:color="auto" w:fill="FFFF99"/>
            <w:vAlign w:val="center"/>
          </w:tcPr>
          <w:p w:rsidR="002B56FF" w:rsidRPr="00DE1644" w:rsidRDefault="002B56FF" w:rsidP="00AB64E6">
            <w:pPr>
              <w:spacing w:line="360" w:lineRule="exact"/>
              <w:rPr>
                <w:rFonts w:ascii="Meiryo UI" w:eastAsia="Meiryo UI" w:hAnsi="Meiryo UI"/>
                <w:sz w:val="28"/>
              </w:rPr>
            </w:pPr>
            <w:r w:rsidRPr="00DE1644">
              <w:rPr>
                <w:rFonts w:ascii="Meiryo UI" w:eastAsia="Meiryo UI" w:hAnsi="Meiryo UI" w:hint="eastAsia"/>
                <w:sz w:val="28"/>
              </w:rPr>
              <w:t>老人介護支援センター</w:t>
            </w:r>
            <w:r w:rsidRPr="00DE1644">
              <w:rPr>
                <w:rFonts w:ascii="Meiryo UI" w:eastAsia="Meiryo UI" w:hAnsi="Meiryo UI" w:hint="eastAsia"/>
                <w:b/>
                <w:sz w:val="28"/>
              </w:rPr>
              <w:t>今津荘</w:t>
            </w:r>
          </w:p>
          <w:p w:rsidR="002B56FF" w:rsidRPr="003A0FD0" w:rsidRDefault="002B56FF" w:rsidP="00AB64E6">
            <w:pPr>
              <w:spacing w:line="360" w:lineRule="exact"/>
              <w:ind w:firstLineChars="100" w:firstLine="220"/>
              <w:rPr>
                <w:rFonts w:ascii="Meiryo UI" w:eastAsia="Meiryo UI" w:hAnsi="Meiryo UI"/>
                <w:sz w:val="22"/>
                <w:szCs w:val="22"/>
              </w:rPr>
            </w:pPr>
            <w:r w:rsidRPr="003A0FD0">
              <w:rPr>
                <w:rFonts w:ascii="Meiryo UI" w:eastAsia="Meiryo UI" w:hAnsi="Meiryo UI" w:hint="eastAsia"/>
                <w:sz w:val="22"/>
                <w:szCs w:val="22"/>
              </w:rPr>
              <w:t>今津町186番地</w:t>
            </w:r>
            <w:r w:rsidR="00244038">
              <w:rPr>
                <w:rFonts w:ascii="Meiryo UI" w:eastAsia="Meiryo UI" w:hAnsi="Meiryo UI" w:hint="eastAsia"/>
                <w:sz w:val="22"/>
                <w:szCs w:val="22"/>
              </w:rPr>
              <w:t>1</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58－2611</w:t>
            </w:r>
          </w:p>
        </w:tc>
      </w:tr>
      <w:tr w:rsidR="002B56FF" w:rsidRPr="00AB64E6" w:rsidTr="002B56FF">
        <w:trPr>
          <w:cantSplit/>
          <w:trHeight w:val="964"/>
        </w:trPr>
        <w:tc>
          <w:tcPr>
            <w:tcW w:w="675" w:type="dxa"/>
            <w:vMerge/>
            <w:shd w:val="clear" w:color="auto" w:fill="FFFF99"/>
          </w:tcPr>
          <w:p w:rsidR="002B56FF" w:rsidRPr="003A0FD0" w:rsidRDefault="002B56FF" w:rsidP="00AB64E6">
            <w:pPr>
              <w:spacing w:line="360" w:lineRule="exact"/>
              <w:rPr>
                <w:rFonts w:ascii="Meiryo UI" w:eastAsia="Meiryo UI" w:hAnsi="Meiryo UI"/>
                <w:b/>
                <w:sz w:val="24"/>
              </w:rPr>
            </w:pPr>
          </w:p>
        </w:tc>
        <w:tc>
          <w:tcPr>
            <w:tcW w:w="5627" w:type="dxa"/>
            <w:shd w:val="clear" w:color="auto" w:fill="FFFF99"/>
            <w:vAlign w:val="center"/>
          </w:tcPr>
          <w:p w:rsidR="002B56FF" w:rsidRPr="00DE1644" w:rsidRDefault="002B56FF" w:rsidP="00AB64E6">
            <w:pPr>
              <w:spacing w:line="360" w:lineRule="exact"/>
              <w:rPr>
                <w:rFonts w:ascii="Meiryo UI" w:eastAsia="Meiryo UI" w:hAnsi="Meiryo UI"/>
                <w:sz w:val="28"/>
              </w:rPr>
            </w:pPr>
            <w:r w:rsidRPr="00DE1644">
              <w:rPr>
                <w:rFonts w:ascii="Meiryo UI" w:eastAsia="Meiryo UI" w:hAnsi="Meiryo UI" w:hint="eastAsia"/>
                <w:b/>
                <w:sz w:val="28"/>
              </w:rPr>
              <w:t>紅山</w:t>
            </w:r>
            <w:r w:rsidRPr="00DE1644">
              <w:rPr>
                <w:rFonts w:ascii="Meiryo UI" w:eastAsia="Meiryo UI" w:hAnsi="Meiryo UI" w:hint="eastAsia"/>
                <w:sz w:val="28"/>
              </w:rPr>
              <w:t>老人介護支援センター</w:t>
            </w:r>
          </w:p>
          <w:p w:rsidR="002B56FF" w:rsidRPr="003A0FD0" w:rsidRDefault="002B56FF" w:rsidP="00AB64E6">
            <w:pPr>
              <w:spacing w:line="360" w:lineRule="exact"/>
              <w:ind w:firstLineChars="100" w:firstLine="220"/>
              <w:rPr>
                <w:rFonts w:ascii="Meiryo UI" w:eastAsia="Meiryo UI" w:hAnsi="Meiryo UI"/>
                <w:sz w:val="22"/>
                <w:szCs w:val="22"/>
              </w:rPr>
            </w:pPr>
            <w:r w:rsidRPr="003A0FD0">
              <w:rPr>
                <w:rFonts w:ascii="Meiryo UI" w:eastAsia="Meiryo UI" w:hAnsi="Meiryo UI" w:hint="eastAsia"/>
                <w:sz w:val="22"/>
                <w:szCs w:val="22"/>
              </w:rPr>
              <w:t>飯山町上法軍寺2600番地</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98－3939</w:t>
            </w:r>
          </w:p>
        </w:tc>
      </w:tr>
      <w:tr w:rsidR="002B56FF" w:rsidRPr="00AB64E6" w:rsidTr="002B56FF">
        <w:trPr>
          <w:cantSplit/>
          <w:trHeight w:val="964"/>
        </w:trPr>
        <w:tc>
          <w:tcPr>
            <w:tcW w:w="675" w:type="dxa"/>
            <w:vMerge/>
            <w:shd w:val="clear" w:color="auto" w:fill="FFFF99"/>
          </w:tcPr>
          <w:p w:rsidR="002B56FF" w:rsidRPr="003A0FD0" w:rsidRDefault="002B56FF" w:rsidP="00AB64E6">
            <w:pPr>
              <w:spacing w:line="360" w:lineRule="exact"/>
              <w:rPr>
                <w:rFonts w:ascii="Meiryo UI" w:eastAsia="Meiryo UI" w:hAnsi="Meiryo UI"/>
                <w:b/>
                <w:sz w:val="24"/>
              </w:rPr>
            </w:pPr>
          </w:p>
        </w:tc>
        <w:tc>
          <w:tcPr>
            <w:tcW w:w="5627" w:type="dxa"/>
            <w:shd w:val="clear" w:color="auto" w:fill="FFFF99"/>
            <w:vAlign w:val="center"/>
          </w:tcPr>
          <w:p w:rsidR="002B56FF" w:rsidRPr="00DE1644" w:rsidRDefault="002B56FF" w:rsidP="00AB64E6">
            <w:pPr>
              <w:spacing w:line="360" w:lineRule="exact"/>
              <w:rPr>
                <w:rFonts w:ascii="Meiryo UI" w:eastAsia="Meiryo UI" w:hAnsi="Meiryo UI"/>
                <w:sz w:val="28"/>
              </w:rPr>
            </w:pPr>
            <w:r w:rsidRPr="00DE1644">
              <w:rPr>
                <w:rFonts w:ascii="Meiryo UI" w:eastAsia="Meiryo UI" w:hAnsi="Meiryo UI" w:hint="eastAsia"/>
                <w:b/>
                <w:sz w:val="28"/>
              </w:rPr>
              <w:t>シャローム</w:t>
            </w:r>
            <w:r w:rsidRPr="00DE1644">
              <w:rPr>
                <w:rFonts w:ascii="Meiryo UI" w:eastAsia="Meiryo UI" w:hAnsi="Meiryo UI" w:hint="eastAsia"/>
                <w:sz w:val="28"/>
              </w:rPr>
              <w:t>老人介護支援センター</w:t>
            </w:r>
          </w:p>
          <w:p w:rsidR="002B56FF" w:rsidRPr="003A0FD0" w:rsidRDefault="002B56FF" w:rsidP="00AB64E6">
            <w:pPr>
              <w:spacing w:line="360" w:lineRule="exact"/>
              <w:rPr>
                <w:rFonts w:ascii="Meiryo UI" w:eastAsia="Meiryo UI" w:hAnsi="Meiryo UI"/>
                <w:sz w:val="22"/>
                <w:szCs w:val="22"/>
              </w:rPr>
            </w:pPr>
            <w:r w:rsidRPr="003A0FD0">
              <w:rPr>
                <w:rFonts w:ascii="Meiryo UI" w:eastAsia="Meiryo UI" w:hAnsi="Meiryo UI" w:hint="eastAsia"/>
                <w:sz w:val="22"/>
                <w:szCs w:val="22"/>
              </w:rPr>
              <w:t xml:space="preserve">　垂水町16番地50</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28－1303</w:t>
            </w:r>
          </w:p>
        </w:tc>
      </w:tr>
      <w:tr w:rsidR="002B56FF" w:rsidRPr="00AB64E6" w:rsidTr="00DE1644">
        <w:trPr>
          <w:cantSplit/>
          <w:trHeight w:val="964"/>
        </w:trPr>
        <w:tc>
          <w:tcPr>
            <w:tcW w:w="6302" w:type="dxa"/>
            <w:gridSpan w:val="2"/>
            <w:vAlign w:val="center"/>
          </w:tcPr>
          <w:p w:rsidR="002B56FF" w:rsidRPr="00DE1644" w:rsidRDefault="002B56FF" w:rsidP="00DE1644">
            <w:pPr>
              <w:spacing w:line="360" w:lineRule="exact"/>
              <w:rPr>
                <w:rFonts w:ascii="Meiryo UI" w:eastAsia="Meiryo UI" w:hAnsi="Meiryo UI"/>
                <w:sz w:val="28"/>
              </w:rPr>
            </w:pPr>
            <w:r w:rsidRPr="00DE1644">
              <w:rPr>
                <w:rFonts w:ascii="Meiryo UI" w:eastAsia="Meiryo UI" w:hAnsi="Meiryo UI" w:hint="eastAsia"/>
                <w:sz w:val="28"/>
              </w:rPr>
              <w:t>地域包括支援センター</w:t>
            </w:r>
          </w:p>
          <w:p w:rsidR="002B56FF" w:rsidRPr="003A0FD0" w:rsidRDefault="002B56FF" w:rsidP="00DE1644">
            <w:pPr>
              <w:ind w:right="159"/>
              <w:rPr>
                <w:rFonts w:ascii="Meiryo UI" w:eastAsia="Meiryo UI" w:hAnsi="Meiryo UI"/>
                <w:sz w:val="22"/>
                <w:szCs w:val="22"/>
              </w:rPr>
            </w:pPr>
            <w:r w:rsidRPr="003A0FD0">
              <w:rPr>
                <w:rFonts w:ascii="Meiryo UI" w:eastAsia="Meiryo UI" w:hAnsi="Meiryo UI" w:hint="eastAsia"/>
                <w:sz w:val="22"/>
                <w:szCs w:val="22"/>
              </w:rPr>
              <w:t>大手町二丁目</w:t>
            </w:r>
            <w:r>
              <w:rPr>
                <w:rFonts w:ascii="Meiryo UI" w:eastAsia="Meiryo UI" w:hAnsi="Meiryo UI" w:hint="eastAsia"/>
                <w:sz w:val="22"/>
                <w:szCs w:val="22"/>
              </w:rPr>
              <w:t>4</w:t>
            </w:r>
            <w:r w:rsidRPr="003A0FD0">
              <w:rPr>
                <w:rFonts w:ascii="Meiryo UI" w:eastAsia="Meiryo UI" w:hAnsi="Meiryo UI" w:hint="eastAsia"/>
                <w:sz w:val="22"/>
                <w:szCs w:val="22"/>
              </w:rPr>
              <w:t>番</w:t>
            </w:r>
            <w:r>
              <w:rPr>
                <w:rFonts w:ascii="Meiryo UI" w:eastAsia="Meiryo UI" w:hAnsi="Meiryo UI" w:hint="eastAsia"/>
                <w:sz w:val="22"/>
                <w:szCs w:val="22"/>
              </w:rPr>
              <w:t>21</w:t>
            </w:r>
            <w:r w:rsidRPr="003A0FD0">
              <w:rPr>
                <w:rFonts w:ascii="Meiryo UI" w:eastAsia="Meiryo UI" w:hAnsi="Meiryo UI" w:hint="eastAsia"/>
                <w:sz w:val="22"/>
                <w:szCs w:val="22"/>
              </w:rPr>
              <w:t xml:space="preserve">号　</w:t>
            </w:r>
            <w:r>
              <w:rPr>
                <w:rFonts w:ascii="Meiryo UI" w:eastAsia="Meiryo UI" w:hAnsi="Meiryo UI" w:hint="eastAsia"/>
                <w:sz w:val="22"/>
                <w:szCs w:val="22"/>
              </w:rPr>
              <w:t>丸亀市役所2階</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24－8933</w:t>
            </w:r>
          </w:p>
        </w:tc>
      </w:tr>
      <w:tr w:rsidR="002B56FF" w:rsidRPr="00AB64E6" w:rsidTr="00DE1644">
        <w:trPr>
          <w:cantSplit/>
          <w:trHeight w:val="964"/>
        </w:trPr>
        <w:tc>
          <w:tcPr>
            <w:tcW w:w="6302" w:type="dxa"/>
            <w:gridSpan w:val="2"/>
            <w:vAlign w:val="center"/>
          </w:tcPr>
          <w:p w:rsidR="002B56FF" w:rsidRPr="00DE1644" w:rsidRDefault="002B56FF" w:rsidP="00DE1644">
            <w:pPr>
              <w:spacing w:line="360" w:lineRule="exact"/>
              <w:rPr>
                <w:rFonts w:ascii="Meiryo UI" w:eastAsia="Meiryo UI" w:hAnsi="Meiryo UI"/>
                <w:sz w:val="28"/>
              </w:rPr>
            </w:pPr>
            <w:r w:rsidRPr="00DE1644">
              <w:rPr>
                <w:rFonts w:ascii="Meiryo UI" w:eastAsia="Meiryo UI" w:hAnsi="Meiryo UI" w:hint="eastAsia"/>
                <w:sz w:val="28"/>
              </w:rPr>
              <w:t>地域包括支援センター　南部センター</w:t>
            </w:r>
          </w:p>
          <w:p w:rsidR="002B56FF" w:rsidRPr="003A0FD0" w:rsidRDefault="002B56FF" w:rsidP="00DE1644">
            <w:pPr>
              <w:rPr>
                <w:rFonts w:ascii="Meiryo UI" w:eastAsia="Meiryo UI" w:hAnsi="Meiryo UI"/>
                <w:sz w:val="22"/>
                <w:szCs w:val="22"/>
              </w:rPr>
            </w:pPr>
            <w:r w:rsidRPr="003A0FD0">
              <w:rPr>
                <w:rFonts w:ascii="Meiryo UI" w:eastAsia="Meiryo UI" w:hAnsi="Meiryo UI" w:hint="eastAsia"/>
                <w:sz w:val="22"/>
                <w:szCs w:val="22"/>
              </w:rPr>
              <w:t xml:space="preserve">飯山町川原1114番地1　</w:t>
            </w:r>
            <w:r w:rsidRPr="003A0FD0">
              <w:rPr>
                <w:rFonts w:ascii="Meiryo UI" w:eastAsia="Meiryo UI" w:hAnsi="Meiryo UI" w:hint="eastAsia"/>
                <w:sz w:val="18"/>
                <w:szCs w:val="18"/>
              </w:rPr>
              <w:t>飯山市民総合センター1階</w:t>
            </w:r>
          </w:p>
        </w:tc>
        <w:tc>
          <w:tcPr>
            <w:tcW w:w="2984" w:type="dxa"/>
            <w:vAlign w:val="center"/>
          </w:tcPr>
          <w:p w:rsidR="002B56FF" w:rsidRPr="00AB64E6" w:rsidRDefault="002B56FF" w:rsidP="00AB64E6">
            <w:pPr>
              <w:jc w:val="center"/>
              <w:rPr>
                <w:rFonts w:ascii="Meiryo UI" w:eastAsia="Meiryo UI" w:hAnsi="Meiryo UI"/>
                <w:sz w:val="32"/>
                <w:szCs w:val="22"/>
              </w:rPr>
            </w:pPr>
            <w:r w:rsidRPr="00AB64E6">
              <w:rPr>
                <w:rFonts w:ascii="Meiryo UI" w:eastAsia="Meiryo UI" w:hAnsi="Meiryo UI" w:hint="eastAsia"/>
                <w:sz w:val="32"/>
                <w:szCs w:val="22"/>
              </w:rPr>
              <w:t>85－3350</w:t>
            </w:r>
          </w:p>
        </w:tc>
      </w:tr>
    </w:tbl>
    <w:p w:rsidR="002D6630" w:rsidRDefault="00DE1644" w:rsidP="002D6630">
      <w:pPr>
        <w:rPr>
          <w:sz w:val="24"/>
        </w:rPr>
      </w:pPr>
      <w:r>
        <w:rPr>
          <w:noProof/>
          <w:sz w:val="24"/>
        </w:rPr>
        <w:drawing>
          <wp:anchor distT="0" distB="0" distL="114300" distR="114300" simplePos="0" relativeHeight="251643904" behindDoc="1" locked="0" layoutInCell="1" allowOverlap="1" wp14:anchorId="117BBA9C" wp14:editId="52B2B8A7">
            <wp:simplePos x="0" y="0"/>
            <wp:positionH relativeFrom="column">
              <wp:posOffset>4414520</wp:posOffset>
            </wp:positionH>
            <wp:positionV relativeFrom="paragraph">
              <wp:posOffset>150495</wp:posOffset>
            </wp:positionV>
            <wp:extent cx="897758" cy="952500"/>
            <wp:effectExtent l="0" t="0" r="0" b="0"/>
            <wp:wrapNone/>
            <wp:docPr id="19" name="図 5" descr="Z:\高齢者支援課\地域包括支援ｾﾝﾀｰ\さわい\ブランチ\素材\加工済み\イラスト\グレースケール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Z:\高齢者支援課\地域包括支援ｾﾝﾀｰ\さわい\ブランチ\素材\加工済み\イラスト\グレースケール0.jpg"/>
                    <pic:cNvPicPr>
                      <a:picLocks noChangeAspect="1" noChangeArrowheads="1"/>
                    </pic:cNvPicPr>
                  </pic:nvPicPr>
                  <pic:blipFill>
                    <a:blip r:embed="rId7" cstate="print"/>
                    <a:srcRect/>
                    <a:stretch>
                      <a:fillRect/>
                    </a:stretch>
                  </pic:blipFill>
                  <pic:spPr bwMode="auto">
                    <a:xfrm>
                      <a:off x="0" y="0"/>
                      <a:ext cx="897758"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F2C37" w:rsidRPr="00657576" w:rsidRDefault="00244038" w:rsidP="003A0FD0">
      <w:pPr>
        <w:rPr>
          <w:rFonts w:asciiTheme="minorEastAsia" w:eastAsiaTheme="minorEastAsia" w:hAnsiTheme="minorEastAsia"/>
          <w:sz w:val="24"/>
        </w:rPr>
      </w:pPr>
      <w:r>
        <w:rPr>
          <w:noProof/>
          <w:sz w:val="24"/>
        </w:rPr>
        <mc:AlternateContent>
          <mc:Choice Requires="wps">
            <w:drawing>
              <wp:anchor distT="0" distB="0" distL="114300" distR="114300" simplePos="0" relativeHeight="251639808" behindDoc="0" locked="0" layoutInCell="1" allowOverlap="1" wp14:anchorId="0D423C3A" wp14:editId="410D47D9">
                <wp:simplePos x="0" y="0"/>
                <wp:positionH relativeFrom="column">
                  <wp:posOffset>690245</wp:posOffset>
                </wp:positionH>
                <wp:positionV relativeFrom="paragraph">
                  <wp:posOffset>57785</wp:posOffset>
                </wp:positionV>
                <wp:extent cx="3400425" cy="581025"/>
                <wp:effectExtent l="0" t="0" r="390525"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581025"/>
                        </a:xfrm>
                        <a:prstGeom prst="wedgeRoundRectCallout">
                          <a:avLst>
                            <a:gd name="adj1" fmla="val 59794"/>
                            <a:gd name="adj2" fmla="val -6905"/>
                            <a:gd name="adj3" fmla="val 16667"/>
                          </a:avLst>
                        </a:prstGeom>
                        <a:solidFill>
                          <a:srgbClr val="FFFFFF"/>
                        </a:solidFill>
                        <a:ln w="9525">
                          <a:solidFill>
                            <a:srgbClr val="000000"/>
                          </a:solidFill>
                          <a:miter lim="800000"/>
                          <a:headEnd/>
                          <a:tailEnd/>
                        </a:ln>
                      </wps:spPr>
                      <wps:txbx>
                        <w:txbxContent>
                          <w:p w:rsidR="002D6630" w:rsidRPr="005D1C66" w:rsidRDefault="002D6630" w:rsidP="002D6630">
                            <w:pPr>
                              <w:rPr>
                                <w:sz w:val="28"/>
                                <w:szCs w:val="28"/>
                              </w:rPr>
                            </w:pPr>
                            <w:r>
                              <w:rPr>
                                <w:rFonts w:ascii="HG丸ｺﾞｼｯｸM-PRO" w:eastAsia="HG丸ｺﾞｼｯｸM-PRO" w:hint="eastAsia"/>
                                <w:sz w:val="28"/>
                                <w:szCs w:val="28"/>
                              </w:rPr>
                              <w:t>『ブランチ</w:t>
                            </w:r>
                            <w:r>
                              <w:rPr>
                                <w:rFonts w:ascii="HG丸ｺﾞｼｯｸM-PRO" w:eastAsia="HG丸ｺﾞｼｯｸM-PRO"/>
                                <w:sz w:val="28"/>
                                <w:szCs w:val="28"/>
                              </w:rPr>
                              <w:t>』は、</w:t>
                            </w:r>
                            <w:r w:rsidRPr="005D1C66">
                              <w:rPr>
                                <w:rFonts w:ascii="HG丸ｺﾞｼｯｸM-PRO" w:eastAsia="HG丸ｺﾞｼｯｸM-PRO" w:hint="eastAsia"/>
                                <w:sz w:val="28"/>
                                <w:szCs w:val="28"/>
                              </w:rPr>
                              <w:t>地域</w:t>
                            </w:r>
                            <w:r w:rsidR="00AB64E6">
                              <w:rPr>
                                <w:rFonts w:ascii="HG丸ｺﾞｼｯｸM-PRO" w:eastAsia="HG丸ｺﾞｼｯｸM-PRO" w:hint="eastAsia"/>
                                <w:sz w:val="28"/>
                                <w:szCs w:val="28"/>
                              </w:rPr>
                              <w:t>包括</w:t>
                            </w:r>
                            <w:r w:rsidR="00AB64E6">
                              <w:rPr>
                                <w:rFonts w:ascii="HG丸ｺﾞｼｯｸM-PRO" w:eastAsia="HG丸ｺﾞｼｯｸM-PRO"/>
                                <w:sz w:val="28"/>
                                <w:szCs w:val="28"/>
                              </w:rPr>
                              <w:t>支援センターと</w:t>
                            </w:r>
                            <w:r w:rsidR="00AB64E6">
                              <w:rPr>
                                <w:rFonts w:ascii="HG丸ｺﾞｼｯｸM-PRO" w:eastAsia="HG丸ｺﾞｼｯｸM-PRO" w:hint="eastAsia"/>
                                <w:sz w:val="28"/>
                                <w:szCs w:val="28"/>
                              </w:rPr>
                              <w:t>連携した</w:t>
                            </w:r>
                            <w:r w:rsidR="00AB64E6">
                              <w:rPr>
                                <w:rFonts w:ascii="HG丸ｺﾞｼｯｸM-PRO" w:eastAsia="HG丸ｺﾞｼｯｸM-PRO"/>
                                <w:sz w:val="28"/>
                                <w:szCs w:val="28"/>
                              </w:rPr>
                              <w:t>身近な</w:t>
                            </w:r>
                            <w:r>
                              <w:rPr>
                                <w:rFonts w:ascii="HG丸ｺﾞｼｯｸM-PRO" w:eastAsia="HG丸ｺﾞｼｯｸM-PRO" w:hint="eastAsia"/>
                                <w:sz w:val="28"/>
                                <w:szCs w:val="28"/>
                              </w:rPr>
                              <w:t>総合相談窓口</w:t>
                            </w:r>
                            <w:r>
                              <w:rPr>
                                <w:rFonts w:ascii="HG丸ｺﾞｼｯｸM-PRO" w:eastAsia="HG丸ｺﾞｼｯｸM-PRO"/>
                                <w:sz w:val="28"/>
                                <w:szCs w:val="28"/>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23C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7" type="#_x0000_t62" style="position:absolute;left:0;text-align:left;margin-left:54.35pt;margin-top:4.55pt;width:267.75pt;height:4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" adj="23716,9309">
                <v:textbox inset="5.85pt,.7pt,5.85pt,.7pt">
                  <w:txbxContent>
                    <w:p w:rsidR="002D6630" w:rsidRPr="005D1C66" w:rsidRDefault="002D6630" w:rsidP="002D6630">
                      <w:pPr>
                        <w:rPr>
                          <w:sz w:val="28"/>
                          <w:szCs w:val="28"/>
                        </w:rPr>
                      </w:pPr>
                      <w:r>
                        <w:rPr>
                          <w:rFonts w:ascii="HG丸ｺﾞｼｯｸM-PRO" w:eastAsia="HG丸ｺﾞｼｯｸM-PRO" w:hint="eastAsia"/>
                          <w:sz w:val="28"/>
                          <w:szCs w:val="28"/>
                        </w:rPr>
                        <w:t>『ブランチ</w:t>
                      </w:r>
                      <w:r>
                        <w:rPr>
                          <w:rFonts w:ascii="HG丸ｺﾞｼｯｸM-PRO" w:eastAsia="HG丸ｺﾞｼｯｸM-PRO"/>
                          <w:sz w:val="28"/>
                          <w:szCs w:val="28"/>
                        </w:rPr>
                        <w:t>』は、</w:t>
                      </w:r>
                      <w:r w:rsidRPr="005D1C66">
                        <w:rPr>
                          <w:rFonts w:ascii="HG丸ｺﾞｼｯｸM-PRO" w:eastAsia="HG丸ｺﾞｼｯｸM-PRO" w:hint="eastAsia"/>
                          <w:sz w:val="28"/>
                          <w:szCs w:val="28"/>
                        </w:rPr>
                        <w:t>地域</w:t>
                      </w:r>
                      <w:r w:rsidR="00AB64E6">
                        <w:rPr>
                          <w:rFonts w:ascii="HG丸ｺﾞｼｯｸM-PRO" w:eastAsia="HG丸ｺﾞｼｯｸM-PRO" w:hint="eastAsia"/>
                          <w:sz w:val="28"/>
                          <w:szCs w:val="28"/>
                        </w:rPr>
                        <w:t>包括</w:t>
                      </w:r>
                      <w:r w:rsidR="00AB64E6">
                        <w:rPr>
                          <w:rFonts w:ascii="HG丸ｺﾞｼｯｸM-PRO" w:eastAsia="HG丸ｺﾞｼｯｸM-PRO"/>
                          <w:sz w:val="28"/>
                          <w:szCs w:val="28"/>
                        </w:rPr>
                        <w:t>支援センターと</w:t>
                      </w:r>
                      <w:r w:rsidR="00AB64E6">
                        <w:rPr>
                          <w:rFonts w:ascii="HG丸ｺﾞｼｯｸM-PRO" w:eastAsia="HG丸ｺﾞｼｯｸM-PRO" w:hint="eastAsia"/>
                          <w:sz w:val="28"/>
                          <w:szCs w:val="28"/>
                        </w:rPr>
                        <w:t>連携した</w:t>
                      </w:r>
                      <w:r w:rsidR="00AB64E6">
                        <w:rPr>
                          <w:rFonts w:ascii="HG丸ｺﾞｼｯｸM-PRO" w:eastAsia="HG丸ｺﾞｼｯｸM-PRO"/>
                          <w:sz w:val="28"/>
                          <w:szCs w:val="28"/>
                        </w:rPr>
                        <w:t>身近な</w:t>
                      </w:r>
                      <w:r>
                        <w:rPr>
                          <w:rFonts w:ascii="HG丸ｺﾞｼｯｸM-PRO" w:eastAsia="HG丸ｺﾞｼｯｸM-PRO" w:hint="eastAsia"/>
                          <w:sz w:val="28"/>
                          <w:szCs w:val="28"/>
                        </w:rPr>
                        <w:t>総合相談窓口</w:t>
                      </w:r>
                      <w:r>
                        <w:rPr>
                          <w:rFonts w:ascii="HG丸ｺﾞｼｯｸM-PRO" w:eastAsia="HG丸ｺﾞｼｯｸM-PRO"/>
                          <w:sz w:val="28"/>
                          <w:szCs w:val="28"/>
                        </w:rPr>
                        <w:t>です。</w:t>
                      </w:r>
                    </w:p>
                  </w:txbxContent>
                </v:textbox>
              </v:shape>
            </w:pict>
          </mc:Fallback>
        </mc:AlternateContent>
      </w:r>
    </w:p>
    <w:sectPr w:rsidR="00DF2C37" w:rsidRPr="00657576" w:rsidSect="00657576">
      <w:pgSz w:w="11906" w:h="16838" w:code="9"/>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61" w:rsidRDefault="00773061" w:rsidP="00736C91">
      <w:r>
        <w:separator/>
      </w:r>
    </w:p>
  </w:endnote>
  <w:endnote w:type="continuationSeparator" w:id="0">
    <w:p w:rsidR="00773061" w:rsidRDefault="00773061" w:rsidP="0073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61" w:rsidRDefault="00773061" w:rsidP="00736C91">
      <w:r>
        <w:separator/>
      </w:r>
    </w:p>
  </w:footnote>
  <w:footnote w:type="continuationSeparator" w:id="0">
    <w:p w:rsidR="00773061" w:rsidRDefault="00773061" w:rsidP="00736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CF"/>
    <w:rsid w:val="00086C25"/>
    <w:rsid w:val="000C7185"/>
    <w:rsid w:val="000E6528"/>
    <w:rsid w:val="00116CCE"/>
    <w:rsid w:val="0013111E"/>
    <w:rsid w:val="00143BAD"/>
    <w:rsid w:val="00150064"/>
    <w:rsid w:val="00166C24"/>
    <w:rsid w:val="0018397F"/>
    <w:rsid w:val="00192E4A"/>
    <w:rsid w:val="001A6115"/>
    <w:rsid w:val="001C57F9"/>
    <w:rsid w:val="001D6645"/>
    <w:rsid w:val="002009F8"/>
    <w:rsid w:val="00205706"/>
    <w:rsid w:val="00244038"/>
    <w:rsid w:val="00251B49"/>
    <w:rsid w:val="00252EB8"/>
    <w:rsid w:val="002640B6"/>
    <w:rsid w:val="002815DB"/>
    <w:rsid w:val="00295098"/>
    <w:rsid w:val="002A253E"/>
    <w:rsid w:val="002B56FF"/>
    <w:rsid w:val="002D3AB9"/>
    <w:rsid w:val="002D6630"/>
    <w:rsid w:val="00312ECE"/>
    <w:rsid w:val="00347A4A"/>
    <w:rsid w:val="00357808"/>
    <w:rsid w:val="00361409"/>
    <w:rsid w:val="003810D2"/>
    <w:rsid w:val="003A0FD0"/>
    <w:rsid w:val="003A7C7C"/>
    <w:rsid w:val="003B1BDB"/>
    <w:rsid w:val="003D147D"/>
    <w:rsid w:val="0042245F"/>
    <w:rsid w:val="004352D9"/>
    <w:rsid w:val="00465F3C"/>
    <w:rsid w:val="004974A7"/>
    <w:rsid w:val="004C4052"/>
    <w:rsid w:val="004E5D2B"/>
    <w:rsid w:val="004E67C9"/>
    <w:rsid w:val="004F4358"/>
    <w:rsid w:val="00504A86"/>
    <w:rsid w:val="00533AC1"/>
    <w:rsid w:val="005469FF"/>
    <w:rsid w:val="005A5FC9"/>
    <w:rsid w:val="005D1C66"/>
    <w:rsid w:val="005D2EC2"/>
    <w:rsid w:val="005F76A9"/>
    <w:rsid w:val="0061455B"/>
    <w:rsid w:val="006272BA"/>
    <w:rsid w:val="006471E8"/>
    <w:rsid w:val="00657576"/>
    <w:rsid w:val="00681BDE"/>
    <w:rsid w:val="006841E6"/>
    <w:rsid w:val="00686864"/>
    <w:rsid w:val="006A17CF"/>
    <w:rsid w:val="006A2411"/>
    <w:rsid w:val="006B72AC"/>
    <w:rsid w:val="007225CF"/>
    <w:rsid w:val="00736C91"/>
    <w:rsid w:val="00737432"/>
    <w:rsid w:val="00771EB7"/>
    <w:rsid w:val="00773061"/>
    <w:rsid w:val="007F2E66"/>
    <w:rsid w:val="007F6DC7"/>
    <w:rsid w:val="00814674"/>
    <w:rsid w:val="0083433B"/>
    <w:rsid w:val="0085526D"/>
    <w:rsid w:val="00862ED9"/>
    <w:rsid w:val="008814C5"/>
    <w:rsid w:val="0089589C"/>
    <w:rsid w:val="008D2C93"/>
    <w:rsid w:val="008D57D7"/>
    <w:rsid w:val="008E5DDA"/>
    <w:rsid w:val="0092406D"/>
    <w:rsid w:val="009915F4"/>
    <w:rsid w:val="00993486"/>
    <w:rsid w:val="009B3602"/>
    <w:rsid w:val="009C7414"/>
    <w:rsid w:val="009D0AE6"/>
    <w:rsid w:val="00A3010E"/>
    <w:rsid w:val="00A81B42"/>
    <w:rsid w:val="00A92CBF"/>
    <w:rsid w:val="00A93133"/>
    <w:rsid w:val="00A9772C"/>
    <w:rsid w:val="00AA25A2"/>
    <w:rsid w:val="00AA5CD0"/>
    <w:rsid w:val="00AB1221"/>
    <w:rsid w:val="00AB64E6"/>
    <w:rsid w:val="00AD73D1"/>
    <w:rsid w:val="00B07AE3"/>
    <w:rsid w:val="00B23F4B"/>
    <w:rsid w:val="00B363E7"/>
    <w:rsid w:val="00B45160"/>
    <w:rsid w:val="00B72B3A"/>
    <w:rsid w:val="00B92C0F"/>
    <w:rsid w:val="00BC6CC6"/>
    <w:rsid w:val="00BD2088"/>
    <w:rsid w:val="00BF318A"/>
    <w:rsid w:val="00C20B50"/>
    <w:rsid w:val="00C247A1"/>
    <w:rsid w:val="00C30D53"/>
    <w:rsid w:val="00C62D67"/>
    <w:rsid w:val="00C66AFF"/>
    <w:rsid w:val="00C73A84"/>
    <w:rsid w:val="00CF2D29"/>
    <w:rsid w:val="00D050CD"/>
    <w:rsid w:val="00D174C7"/>
    <w:rsid w:val="00D50144"/>
    <w:rsid w:val="00D8500F"/>
    <w:rsid w:val="00DA7273"/>
    <w:rsid w:val="00DB0F02"/>
    <w:rsid w:val="00DE1644"/>
    <w:rsid w:val="00DF2C37"/>
    <w:rsid w:val="00E53E5D"/>
    <w:rsid w:val="00E77D3A"/>
    <w:rsid w:val="00E8171E"/>
    <w:rsid w:val="00E95AD7"/>
    <w:rsid w:val="00EB1020"/>
    <w:rsid w:val="00ED207B"/>
    <w:rsid w:val="00EF65C9"/>
    <w:rsid w:val="00EF781A"/>
    <w:rsid w:val="00F41A07"/>
    <w:rsid w:val="00F43AA8"/>
    <w:rsid w:val="00F53BC4"/>
    <w:rsid w:val="00F57010"/>
    <w:rsid w:val="00F9612F"/>
    <w:rsid w:val="00FA50E1"/>
    <w:rsid w:val="00FA56B7"/>
    <w:rsid w:val="00FB3636"/>
    <w:rsid w:val="00FB42B9"/>
    <w:rsid w:val="00FC7885"/>
    <w:rsid w:val="00FD2B60"/>
    <w:rsid w:val="00FD7011"/>
    <w:rsid w:val="00FE3354"/>
    <w:rsid w:val="00FE5650"/>
    <w:rsid w:val="00FF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93488"/>
  <w15:docId w15:val="{0CEFE061-E7E5-4B18-B158-8ED6E15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6528"/>
    <w:rPr>
      <w:rFonts w:ascii="Arial" w:eastAsia="ＭＳ ゴシック" w:hAnsi="Arial"/>
      <w:sz w:val="18"/>
      <w:szCs w:val="18"/>
    </w:rPr>
  </w:style>
  <w:style w:type="paragraph" w:styleId="a4">
    <w:name w:val="header"/>
    <w:basedOn w:val="a"/>
    <w:link w:val="a5"/>
    <w:rsid w:val="00736C91"/>
    <w:pPr>
      <w:tabs>
        <w:tab w:val="center" w:pos="4252"/>
        <w:tab w:val="right" w:pos="8504"/>
      </w:tabs>
      <w:snapToGrid w:val="0"/>
    </w:pPr>
  </w:style>
  <w:style w:type="character" w:customStyle="1" w:styleId="a5">
    <w:name w:val="ヘッダー (文字)"/>
    <w:basedOn w:val="a0"/>
    <w:link w:val="a4"/>
    <w:rsid w:val="00736C91"/>
    <w:rPr>
      <w:kern w:val="2"/>
      <w:sz w:val="21"/>
      <w:szCs w:val="24"/>
    </w:rPr>
  </w:style>
  <w:style w:type="paragraph" w:styleId="a6">
    <w:name w:val="footer"/>
    <w:basedOn w:val="a"/>
    <w:link w:val="a7"/>
    <w:rsid w:val="00736C91"/>
    <w:pPr>
      <w:tabs>
        <w:tab w:val="center" w:pos="4252"/>
        <w:tab w:val="right" w:pos="8504"/>
      </w:tabs>
      <w:snapToGrid w:val="0"/>
    </w:pPr>
  </w:style>
  <w:style w:type="character" w:customStyle="1" w:styleId="a7">
    <w:name w:val="フッター (文字)"/>
    <w:basedOn w:val="a0"/>
    <w:link w:val="a6"/>
    <w:rsid w:val="00736C91"/>
    <w:rPr>
      <w:kern w:val="2"/>
      <w:sz w:val="21"/>
      <w:szCs w:val="24"/>
    </w:rPr>
  </w:style>
  <w:style w:type="table" w:styleId="a8">
    <w:name w:val="Table Grid"/>
    <w:basedOn w:val="a1"/>
    <w:rsid w:val="00546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663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3C82-F67C-4D5B-B57F-03EA1D4B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老人介護支援センターは、高齢者福祉制度に関することを中心とした窓口として活動していただいていましたが、介護予防、介護保険制度を含めた総合的な相談を、地域の住民の方々から受け付けて集約した上で、地域包括支援センターへつなぐための窓口として活動していただくために、地域包括支援センターの出先機関としての意味合いを持ったブランチ（枝、出張所）として位置づけたい</vt:lpstr>
      <vt:lpstr>従来、老人介護支援センターは、高齢者福祉制度に関することを中心とした窓口として活動していただいていましたが、介護予防、介護保険制度を含めた総合的な相談を、地域の住民の方々から受け付けて集約した上で、地域包括支援センターへつなぐための窓口として活動していただくために、地域包括支援センターの出先機関としての意味合いを持ったブランチ（枝、出張所）として位置づけたい</vt:lpstr>
    </vt:vector>
  </TitlesOfParts>
  <Company>丸亀市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老人介護支援センターは、高齢者福祉制度に関することを中心とした窓口として活動していただいていましたが、介護予防、介護保険制度を含めた総合的な相談を、地域の住民の方々から受け付けて集約した上で、地域包括支援センターへつなぐための窓口として活動していただくために、地域包括支援センターの出先機関としての意味合いを持ったブランチ（枝、出張所）として位置づけたい</dc:title>
  <dc:creator>user</dc:creator>
  <cp:lastModifiedBy>setup</cp:lastModifiedBy>
  <cp:revision>14</cp:revision>
  <cp:lastPrinted>2025-04-10T08:46:00Z</cp:lastPrinted>
  <dcterms:created xsi:type="dcterms:W3CDTF">2016-02-15T02:51:00Z</dcterms:created>
  <dcterms:modified xsi:type="dcterms:W3CDTF">2025-04-11T10:38:00Z</dcterms:modified>
</cp:coreProperties>
</file>